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大标宋简体" w:cs="Times New Roman"/>
          <w:color w:val="FF0000"/>
          <w:spacing w:val="-20"/>
          <w:w w:val="80"/>
          <w:sz w:val="84"/>
          <w:szCs w:val="84"/>
        </w:rPr>
      </w:pPr>
    </w:p>
    <w:p>
      <w:pPr>
        <w:jc w:val="center"/>
        <w:rPr>
          <w:rFonts w:ascii="Times New Roman" w:hAnsi="Times New Roman" w:eastAsia="方正大标宋简体" w:cs="Times New Roman"/>
          <w:color w:val="FF0000"/>
          <w:spacing w:val="-20"/>
          <w:w w:val="80"/>
          <w:sz w:val="84"/>
          <w:szCs w:val="84"/>
        </w:rPr>
      </w:pPr>
    </w:p>
    <w:p>
      <w:pPr>
        <w:jc w:val="center"/>
        <w:rPr>
          <w:rFonts w:ascii="Times New Roman" w:hAnsi="Times New Roman" w:eastAsia="方正大标宋简体" w:cs="Times New Roman"/>
          <w:color w:val="FF0000"/>
          <w:spacing w:val="-20"/>
          <w:w w:val="80"/>
          <w:sz w:val="84"/>
          <w:szCs w:val="84"/>
        </w:rPr>
      </w:pPr>
    </w:p>
    <w:p>
      <w:pPr>
        <w:jc w:val="center"/>
        <w:rPr>
          <w:rFonts w:ascii="Times New Roman" w:hAnsi="Times New Roman" w:eastAsia="方正大标宋简体" w:cs="Times New Roman"/>
          <w:color w:val="FF0000"/>
          <w:spacing w:val="-20"/>
          <w:w w:val="80"/>
          <w:sz w:val="84"/>
          <w:szCs w:val="84"/>
        </w:rPr>
      </w:pPr>
      <w:r>
        <w:rPr>
          <w:rFonts w:ascii="Times New Roman" w:hAnsi="Times New Roman" w:eastAsia="方正大标宋简体" w:cs="Times New Roman"/>
          <w:color w:val="FF0000"/>
          <w:spacing w:val="-20"/>
          <w:w w:val="80"/>
          <w:sz w:val="84"/>
          <w:szCs w:val="84"/>
        </w:rPr>
        <w:t>成都市破产管理人协会秘书处</w:t>
      </w:r>
    </w:p>
    <w:p>
      <w:pPr>
        <w:spacing w:line="500" w:lineRule="exact"/>
        <w:jc w:val="center"/>
        <w:rPr>
          <w:rFonts w:ascii="Times New Roman" w:hAnsi="Times New Roman" w:eastAsia="仿宋" w:cs="Times New Roman"/>
          <w:sz w:val="36"/>
          <w:szCs w:val="36"/>
        </w:rPr>
      </w:pPr>
      <w:r>
        <w:rPr>
          <w:rFonts w:ascii="Times New Roman" w:hAnsi="Times New Roman" w:eastAsia="仿宋" w:cs="Times New Roman"/>
          <w:w w:val="80"/>
          <w:sz w:val="84"/>
          <w:szCs w:val="84"/>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48260</wp:posOffset>
                </wp:positionV>
                <wp:extent cx="52057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5205506"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3.8pt;height:0pt;width:409.9pt;mso-position-horizontal:right;mso-position-horizontal-relative:margin;z-index:-251657216;mso-width-relative:page;mso-height-relative:page;" filled="f" stroked="t" coordsize="21600,21600" o:gfxdata="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nNwutAAAAAEAQAADwAA&#10;AAAAAAABACAAAAAiAAAAZHJzL2Rvd25yZXYueG1sUEsBAhQAFAAAAAgAh07iQGJqhrzlAQAAsQMA&#10;AA4AAAAAAAAAAQAgAAAAHwEAAGRycy9lMm9Eb2MueG1sUEsFBgAAAAAGAAYAWQEAAHYFAAAAAA==&#10;">
                <v:fill on="f" focussize="0,0"/>
                <v:stroke color="#FF0000 [3204]" miterlimit="8" joinstyle="miter"/>
                <v:imagedata o:title=""/>
                <o:lock v:ext="edit" aspectratio="f"/>
              </v:line>
            </w:pict>
          </mc:Fallback>
        </mc:AlternateContent>
      </w:r>
    </w:p>
    <w:p>
      <w:pPr>
        <w:spacing w:line="680" w:lineRule="exact"/>
        <w:jc w:val="center"/>
        <w:rPr>
          <w:rFonts w:ascii="Times New Roman" w:hAnsi="Times New Roman" w:eastAsia="黑体" w:cs="Times New Roman"/>
          <w:b/>
          <w:sz w:val="44"/>
          <w:szCs w:val="44"/>
        </w:rPr>
      </w:pPr>
      <w:r>
        <w:rPr>
          <w:rFonts w:ascii="Times New Roman" w:hAnsi="Times New Roman" w:eastAsia="黑体" w:cs="Times New Roman"/>
          <w:b/>
          <w:sz w:val="44"/>
          <w:szCs w:val="44"/>
        </w:rPr>
        <w:t>关于申报成都中院</w:t>
      </w:r>
      <w:r>
        <w:rPr>
          <w:rFonts w:ascii="Times New Roman" w:hAnsi="Times New Roman" w:eastAsia="黑体" w:cs="Times New Roman"/>
          <w:b/>
          <w:bCs/>
          <w:sz w:val="44"/>
          <w:szCs w:val="44"/>
        </w:rPr>
        <w:t>破产案件专项项目资金</w:t>
      </w:r>
      <w:r>
        <w:rPr>
          <w:rFonts w:ascii="Times New Roman" w:hAnsi="Times New Roman" w:eastAsia="黑体" w:cs="Times New Roman"/>
          <w:b/>
          <w:sz w:val="44"/>
          <w:szCs w:val="44"/>
        </w:rPr>
        <w:t>的紧急通知</w:t>
      </w:r>
    </w:p>
    <w:p>
      <w:pPr>
        <w:spacing w:line="500" w:lineRule="exact"/>
        <w:jc w:val="center"/>
        <w:rPr>
          <w:rFonts w:ascii="Times New Roman" w:hAnsi="Times New Roman" w:eastAsia="仿宋" w:cs="Times New Roman"/>
          <w:sz w:val="32"/>
          <w:szCs w:val="32"/>
        </w:rPr>
      </w:pPr>
    </w:p>
    <w:p>
      <w:pPr>
        <w:spacing w:line="500" w:lineRule="exact"/>
        <w:jc w:val="right"/>
        <w:rPr>
          <w:rFonts w:ascii="Times New Roman" w:hAnsi="Times New Roman" w:eastAsia="仿宋" w:cs="Times New Roman"/>
          <w:sz w:val="32"/>
          <w:szCs w:val="32"/>
        </w:rPr>
      </w:pPr>
      <w:r>
        <w:rPr>
          <w:rFonts w:ascii="Times New Roman" w:hAnsi="Times New Roman" w:eastAsia="楷体" w:cs="Times New Roman"/>
          <w:sz w:val="32"/>
          <w:szCs w:val="32"/>
          <w:shd w:val="clear" w:color="auto" w:fill="FFFFFF"/>
        </w:rPr>
        <w:t>（2021）蓉管协秘字第9号</w:t>
      </w:r>
    </w:p>
    <w:p>
      <w:pPr>
        <w:spacing w:line="500" w:lineRule="exact"/>
        <w:jc w:val="right"/>
        <w:rPr>
          <w:rFonts w:ascii="Times New Roman" w:hAnsi="Times New Roman" w:eastAsia="仿宋" w:cs="Times New Roman"/>
          <w:sz w:val="32"/>
          <w:szCs w:val="32"/>
        </w:rPr>
      </w:pPr>
    </w:p>
    <w:p>
      <w:pPr>
        <w:spacing w:line="500" w:lineRule="exact"/>
        <w:rPr>
          <w:rFonts w:ascii="Times New Roman" w:hAnsi="Times New Roman" w:eastAsia="仿宋" w:cs="Times New Roman"/>
          <w:b/>
          <w:sz w:val="32"/>
          <w:szCs w:val="32"/>
        </w:rPr>
      </w:pPr>
      <w:r>
        <w:rPr>
          <w:rFonts w:ascii="Times New Roman" w:hAnsi="Times New Roman" w:eastAsia="仿宋" w:cs="Times New Roman"/>
          <w:b/>
          <w:sz w:val="32"/>
          <w:szCs w:val="32"/>
        </w:rPr>
        <w:t>各会员单位：</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根据《成都市中级人民法院破产案件专项项目资金管理使用办法》规定，“债务人财产可用于计算管理人报酬的基数极低，不足以弥补管理人工作成本的”等破产案件可以申报破产案件专项项目资金。根据成都中院</w:t>
      </w:r>
      <w:r>
        <w:rPr>
          <w:rFonts w:hint="eastAsia" w:ascii="Times New Roman" w:hAnsi="Times New Roman" w:eastAsia="仿宋" w:cs="Times New Roman"/>
          <w:sz w:val="32"/>
          <w:szCs w:val="32"/>
        </w:rPr>
        <w:t>授权</w:t>
      </w:r>
      <w:r>
        <w:rPr>
          <w:rFonts w:ascii="Times New Roman" w:hAnsi="Times New Roman" w:eastAsia="仿宋" w:cs="Times New Roman"/>
          <w:sz w:val="32"/>
          <w:szCs w:val="32"/>
        </w:rPr>
        <w:t>，由协会负责破产案件专项项目资金的预审工作。协会会长办公会议近日已原则通过了《成都市破产管理人协会破产案件专项项目资金预审办法（试行）》草案，拟提请理事会通过后颁布后实施。现因年底财政决算期临近，经请示中院，就近期符合条件的申报工作安排紧急通知如下：</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黑体" w:cs="Times New Roman"/>
          <w:sz w:val="32"/>
          <w:szCs w:val="32"/>
        </w:rPr>
        <w:t>1.申报范围：</w:t>
      </w:r>
      <w:r>
        <w:rPr>
          <w:rFonts w:ascii="Times New Roman" w:hAnsi="Times New Roman" w:eastAsia="仿宋" w:cs="Times New Roman"/>
          <w:sz w:val="32"/>
          <w:szCs w:val="32"/>
        </w:rPr>
        <w:t>2021年4月28日以来成都中院审结的破产案件和强制清算案件。</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协会秘书处可以受理2020年度成都中院审结的破产案件和强制清算案件的补充申报，但最终是否符合申报条件待进一步研究决定。</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各基层法院审理的案件不属于本通知范围。本通知下发前已经申报的不得重复申报，但已申领破产清算公益基金的不影响继续申报破产案件专项项目资金。</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黑体" w:cs="Times New Roman"/>
          <w:sz w:val="32"/>
          <w:szCs w:val="32"/>
        </w:rPr>
        <w:t>2.申报途径：</w:t>
      </w:r>
      <w:r>
        <w:rPr>
          <w:rFonts w:ascii="Times New Roman" w:hAnsi="Times New Roman" w:eastAsia="仿宋" w:cs="Times New Roman"/>
          <w:sz w:val="32"/>
          <w:szCs w:val="32"/>
        </w:rPr>
        <w:t>向协会秘书处申报，详见本通知文末联系人信息。</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黑体" w:cs="Times New Roman"/>
          <w:sz w:val="32"/>
          <w:szCs w:val="32"/>
        </w:rPr>
        <w:t>3.申报时限：</w:t>
      </w:r>
      <w:r>
        <w:rPr>
          <w:rFonts w:ascii="Times New Roman" w:hAnsi="Times New Roman" w:eastAsia="仿宋" w:cs="Times New Roman"/>
          <w:sz w:val="32"/>
          <w:szCs w:val="32"/>
        </w:rPr>
        <w:t>根据成都中院对协会本月底提交预审意见的</w:t>
      </w:r>
      <w:r>
        <w:rPr>
          <w:rFonts w:hint="eastAsia" w:ascii="Times New Roman" w:hAnsi="Times New Roman" w:eastAsia="仿宋" w:cs="Times New Roman"/>
          <w:sz w:val="32"/>
          <w:szCs w:val="32"/>
        </w:rPr>
        <w:t>时限</w:t>
      </w:r>
      <w:r>
        <w:rPr>
          <w:rFonts w:ascii="Times New Roman" w:hAnsi="Times New Roman" w:eastAsia="仿宋" w:cs="Times New Roman"/>
          <w:sz w:val="32"/>
          <w:szCs w:val="32"/>
        </w:rPr>
        <w:t>要求，自本通知发出之日的已结案件须于2021年10月25日</w:t>
      </w:r>
      <w:r>
        <w:rPr>
          <w:rFonts w:hint="eastAsia" w:ascii="Times New Roman" w:hAnsi="Times New Roman" w:eastAsia="仿宋" w:cs="Times New Roman"/>
          <w:sz w:val="32"/>
          <w:szCs w:val="32"/>
        </w:rPr>
        <w:t>工作时间结束</w:t>
      </w:r>
      <w:r>
        <w:rPr>
          <w:rFonts w:ascii="Times New Roman" w:hAnsi="Times New Roman" w:eastAsia="仿宋" w:cs="Times New Roman"/>
          <w:sz w:val="32"/>
          <w:szCs w:val="32"/>
        </w:rPr>
        <w:t>前完成申报，逾期视为自动放弃。</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黑体" w:cs="Times New Roman"/>
          <w:sz w:val="32"/>
          <w:szCs w:val="32"/>
        </w:rPr>
        <w:t>4.申报要求：</w:t>
      </w:r>
      <w:r>
        <w:rPr>
          <w:rFonts w:ascii="Times New Roman" w:hAnsi="Times New Roman" w:eastAsia="仿宋" w:cs="Times New Roman"/>
          <w:sz w:val="32"/>
          <w:szCs w:val="32"/>
        </w:rPr>
        <w:t>按本通知附件《成都市中级人民法院破产案件专项项目资金管理使用办法（试行）》《成都市破产管理人协会破产案件专项项目资金预审办法（试行）》（讨论稿）要求执行。</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为了提高效率，请申报单位直接向协会秘书处提交《管理人援助资金申请表》并附相关佐证材料和工作开展清单。联合履职的管理人，各中介机构</w:t>
      </w:r>
      <w:r>
        <w:rPr>
          <w:rFonts w:hint="eastAsia" w:ascii="Times New Roman" w:hAnsi="Times New Roman" w:eastAsia="仿宋" w:cs="Times New Roman"/>
          <w:sz w:val="32"/>
          <w:szCs w:val="32"/>
        </w:rPr>
        <w:t>均</w:t>
      </w:r>
      <w:r>
        <w:rPr>
          <w:rFonts w:ascii="Times New Roman" w:hAnsi="Times New Roman" w:eastAsia="仿宋" w:cs="Times New Roman"/>
          <w:sz w:val="32"/>
          <w:szCs w:val="32"/>
        </w:rPr>
        <w:t>应在申请表中加盖印章。《管理人（清算组）援助资金申请表》《管理人（清算组）履职明细表》须在页眉处加盖申报单位公章，机构协调人须在《管理人援助资金申请表》“申请机构”栏本人签字。</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《管理人（清算组）援助资金申请表》《管理人（清算组）履职明细表》须提供原件，相关佐证材料</w:t>
      </w:r>
      <w:r>
        <w:rPr>
          <w:rFonts w:hint="eastAsia" w:ascii="Times New Roman" w:hAnsi="Times New Roman" w:eastAsia="仿宋" w:cs="Times New Roman"/>
          <w:sz w:val="32"/>
          <w:szCs w:val="32"/>
        </w:rPr>
        <w:t>明确</w:t>
      </w:r>
      <w:r>
        <w:rPr>
          <w:rFonts w:ascii="Times New Roman" w:hAnsi="Times New Roman" w:eastAsia="仿宋" w:cs="Times New Roman"/>
          <w:sz w:val="32"/>
          <w:szCs w:val="32"/>
        </w:rPr>
        <w:t>要求原件</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按规定办理，提供复印件的请加盖申报单位公章的骑缝章。</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所有材料须提交纸质文件两套（报中院一套，协会留存一套）并同时扫描发秘书处统一邮箱以便识别申报时间并保留痕迹。纸质文件可以当面提交或邮寄。未发邮件的视为申报未完成，协会不予预审。</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本通知的其他不明事项请按《成都市中级人民法院破产案件专项项目资金管理使用办法（试行）》《成都市破产管理人协会破产案件专项项目资金预审办法（试行）》（讨论稿）精神办理。</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特此通知</w:t>
      </w:r>
    </w:p>
    <w:p>
      <w:pPr>
        <w:spacing w:line="500" w:lineRule="exact"/>
        <w:ind w:firstLine="604" w:firstLineChars="189"/>
        <w:rPr>
          <w:rFonts w:ascii="Times New Roman" w:hAnsi="Times New Roman" w:eastAsia="仿宋" w:cs="Times New Roman"/>
          <w:sz w:val="32"/>
          <w:szCs w:val="32"/>
        </w:rPr>
      </w:pP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附：</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t>1.《成都市中级人民法院破产案件专项项目资金管理使用办法（试行）》；</w:t>
      </w:r>
    </w:p>
    <w:p>
      <w:pPr>
        <w:spacing w:line="500" w:lineRule="exact"/>
        <w:ind w:firstLine="604" w:firstLineChars="189"/>
        <w:rPr>
          <w:rFonts w:ascii="Times New Roman" w:hAnsi="Times New Roman" w:eastAsia="仿宋" w:cs="Times New Roman"/>
          <w:sz w:val="32"/>
          <w:szCs w:val="32"/>
        </w:rPr>
      </w:pPr>
      <w:r>
        <w:rPr>
          <w:rFonts w:ascii="Times New Roman" w:hAnsi="Times New Roman" w:eastAsia="仿宋" w:cs="Times New Roman"/>
          <w:sz w:val="32"/>
          <w:szCs w:val="32"/>
        </w:rPr>
        <w:drawing>
          <wp:anchor distT="0" distB="0" distL="114300" distR="114300" simplePos="0" relativeHeight="251660288" behindDoc="1" locked="0" layoutInCell="1" allowOverlap="1">
            <wp:simplePos x="0" y="0"/>
            <wp:positionH relativeFrom="margin">
              <wp:posOffset>2835910</wp:posOffset>
            </wp:positionH>
            <wp:positionV relativeFrom="paragraph">
              <wp:posOffset>417195</wp:posOffset>
            </wp:positionV>
            <wp:extent cx="1541145" cy="1563370"/>
            <wp:effectExtent l="0" t="0" r="1905" b="0"/>
            <wp:wrapNone/>
            <wp:docPr id="2" name="图片 2" descr="H:\管协秘书处\基础资料\印章扫描\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管协秘书处\基础资料\印章扫描\公章.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41318" cy="1563435"/>
                    </a:xfrm>
                    <a:prstGeom prst="rect">
                      <a:avLst/>
                    </a:prstGeom>
                    <a:noFill/>
                    <a:ln>
                      <a:noFill/>
                    </a:ln>
                  </pic:spPr>
                </pic:pic>
              </a:graphicData>
            </a:graphic>
          </wp:anchor>
        </w:drawing>
      </w:r>
      <w:r>
        <w:rPr>
          <w:rFonts w:ascii="Times New Roman" w:hAnsi="Times New Roman" w:eastAsia="仿宋" w:cs="Times New Roman"/>
          <w:sz w:val="32"/>
          <w:szCs w:val="32"/>
        </w:rPr>
        <w:t>2.《成都市破产管理人协会破产案件专项项目资金预审办法（试行）》（讨论稿）</w:t>
      </w:r>
    </w:p>
    <w:p>
      <w:pPr>
        <w:spacing w:line="500" w:lineRule="exact"/>
        <w:ind w:firstLine="604" w:firstLineChars="189"/>
        <w:rPr>
          <w:rFonts w:ascii="Times New Roman" w:hAnsi="Times New Roman" w:eastAsia="仿宋" w:cs="Times New Roman"/>
          <w:sz w:val="32"/>
          <w:szCs w:val="32"/>
        </w:rPr>
      </w:pPr>
    </w:p>
    <w:p>
      <w:pPr>
        <w:spacing w:line="500" w:lineRule="exact"/>
        <w:ind w:firstLine="604" w:firstLineChars="189"/>
        <w:jc w:val="right"/>
        <w:rPr>
          <w:rFonts w:ascii="Times New Roman" w:hAnsi="Times New Roman" w:eastAsia="仿宋" w:cs="Times New Roman"/>
          <w:sz w:val="32"/>
          <w:szCs w:val="32"/>
        </w:rPr>
      </w:pPr>
      <w:r>
        <w:rPr>
          <w:rFonts w:ascii="Times New Roman" w:hAnsi="Times New Roman" w:eastAsia="仿宋" w:cs="Times New Roman"/>
          <w:sz w:val="32"/>
          <w:szCs w:val="32"/>
        </w:rPr>
        <w:t>成都市破产管理人协会秘书处</w:t>
      </w:r>
    </w:p>
    <w:p>
      <w:pPr>
        <w:spacing w:line="500" w:lineRule="exact"/>
        <w:ind w:firstLine="604" w:firstLineChars="189"/>
        <w:jc w:val="right"/>
        <w:rPr>
          <w:rFonts w:ascii="Times New Roman" w:hAnsi="Times New Roman" w:eastAsia="仿宋" w:cs="Times New Roman"/>
          <w:sz w:val="32"/>
          <w:szCs w:val="32"/>
        </w:rPr>
      </w:pPr>
      <w:r>
        <w:rPr>
          <w:rFonts w:ascii="Times New Roman" w:hAnsi="Times New Roman" w:eastAsia="仿宋" w:cs="Times New Roman"/>
          <w:sz w:val="32"/>
          <w:szCs w:val="32"/>
        </w:rPr>
        <w:t>2021年10月13日</w:t>
      </w:r>
    </w:p>
    <w:p>
      <w:pPr>
        <w:spacing w:line="460" w:lineRule="exact"/>
        <w:ind w:firstLine="604" w:firstLineChars="189"/>
        <w:jc w:val="left"/>
        <w:rPr>
          <w:rFonts w:ascii="Times New Roman" w:hAnsi="Times New Roman" w:eastAsia="楷体" w:cs="Times New Roman"/>
          <w:sz w:val="32"/>
          <w:szCs w:val="32"/>
        </w:rPr>
      </w:pPr>
    </w:p>
    <w:p>
      <w:pPr>
        <w:spacing w:line="460" w:lineRule="exact"/>
        <w:ind w:firstLine="604" w:firstLineChars="189"/>
        <w:jc w:val="left"/>
        <w:rPr>
          <w:rFonts w:ascii="Times New Roman" w:hAnsi="Times New Roman" w:eastAsia="楷体" w:cs="Times New Roman"/>
          <w:sz w:val="32"/>
          <w:szCs w:val="32"/>
        </w:rPr>
      </w:pPr>
    </w:p>
    <w:p>
      <w:pPr>
        <w:spacing w:line="460" w:lineRule="exact"/>
        <w:ind w:firstLine="604" w:firstLineChars="189"/>
        <w:jc w:val="left"/>
        <w:rPr>
          <w:rFonts w:ascii="Times New Roman" w:hAnsi="Times New Roman" w:eastAsia="楷体" w:cs="Times New Roman"/>
          <w:sz w:val="32"/>
          <w:szCs w:val="32"/>
        </w:rPr>
      </w:pPr>
    </w:p>
    <w:p>
      <w:pPr>
        <w:spacing w:line="460" w:lineRule="exact"/>
        <w:ind w:firstLine="604" w:firstLineChars="189"/>
        <w:jc w:val="left"/>
        <w:rPr>
          <w:rFonts w:ascii="Times New Roman" w:hAnsi="Times New Roman" w:eastAsia="楷体" w:cs="Times New Roman"/>
          <w:sz w:val="32"/>
          <w:szCs w:val="32"/>
        </w:rPr>
      </w:pPr>
      <w:r>
        <w:rPr>
          <w:rFonts w:ascii="Times New Roman" w:hAnsi="Times New Roman" w:eastAsia="楷体" w:cs="Times New Roman"/>
          <w:sz w:val="32"/>
          <w:szCs w:val="32"/>
        </w:rPr>
        <w:t>专职秘书：张浩，电话：18190901818</w:t>
      </w:r>
    </w:p>
    <w:p>
      <w:pPr>
        <w:spacing w:line="460" w:lineRule="exact"/>
        <w:ind w:firstLine="604" w:firstLineChars="189"/>
        <w:jc w:val="left"/>
        <w:rPr>
          <w:rFonts w:ascii="Times New Roman" w:hAnsi="Times New Roman" w:eastAsia="楷体" w:cs="Times New Roman"/>
          <w:sz w:val="32"/>
          <w:szCs w:val="32"/>
        </w:rPr>
      </w:pPr>
      <w:r>
        <w:rPr>
          <w:rFonts w:ascii="Times New Roman" w:hAnsi="Times New Roman" w:eastAsia="楷体" w:cs="Times New Roman"/>
          <w:sz w:val="32"/>
          <w:szCs w:val="32"/>
        </w:rPr>
        <w:t>秘书处统一邮箱：</w:t>
      </w:r>
      <w:r>
        <w:fldChar w:fldCharType="begin"/>
      </w:r>
      <w:r>
        <w:instrText xml:space="preserve"> HYPERLINK "mailto:1044120120@qq.com" </w:instrText>
      </w:r>
      <w:r>
        <w:fldChar w:fldCharType="separate"/>
      </w:r>
      <w:r>
        <w:rPr>
          <w:rStyle w:val="7"/>
          <w:rFonts w:ascii="Times New Roman" w:hAnsi="Times New Roman" w:eastAsia="楷体" w:cs="Times New Roman"/>
          <w:sz w:val="32"/>
          <w:szCs w:val="32"/>
        </w:rPr>
        <w:t>1044120120@qq.com</w:t>
      </w:r>
      <w:r>
        <w:rPr>
          <w:rStyle w:val="7"/>
          <w:rFonts w:ascii="Times New Roman" w:hAnsi="Times New Roman" w:eastAsia="楷体" w:cs="Times New Roman"/>
          <w:sz w:val="32"/>
          <w:szCs w:val="32"/>
        </w:rPr>
        <w:fldChar w:fldCharType="end"/>
      </w:r>
    </w:p>
    <w:p>
      <w:pPr>
        <w:spacing w:line="460" w:lineRule="exact"/>
        <w:ind w:firstLine="604" w:firstLineChars="189"/>
        <w:jc w:val="left"/>
        <w:rPr>
          <w:rFonts w:ascii="Times New Roman" w:hAnsi="Times New Roman" w:eastAsia="楷体" w:cs="Times New Roman"/>
          <w:sz w:val="32"/>
          <w:szCs w:val="32"/>
        </w:rPr>
      </w:pPr>
      <w:r>
        <w:rPr>
          <w:rFonts w:ascii="Times New Roman" w:hAnsi="Times New Roman" w:eastAsia="楷体" w:cs="Times New Roman"/>
          <w:sz w:val="32"/>
          <w:szCs w:val="32"/>
        </w:rPr>
        <w:t>纸质文件用EMS寄：成都市620号邮政信箱，收件人罗鑫淼（电话：15982355382）</w:t>
      </w:r>
    </w:p>
    <w:p>
      <w:pPr>
        <w:widowControl/>
        <w:jc w:val="left"/>
        <w:rPr>
          <w:rFonts w:ascii="Times New Roman" w:hAnsi="Times New Roman" w:eastAsia="楷体" w:cs="Times New Roman"/>
          <w:sz w:val="32"/>
          <w:szCs w:val="32"/>
        </w:rPr>
      </w:pPr>
      <w:r>
        <w:rPr>
          <w:rFonts w:ascii="Times New Roman" w:hAnsi="Times New Roman" w:eastAsia="楷体" w:cs="Times New Roman"/>
          <w:sz w:val="32"/>
          <w:szCs w:val="32"/>
        </w:rPr>
        <w:br w:type="page"/>
      </w:r>
    </w:p>
    <w:p>
      <w:pPr>
        <w:spacing w:line="460" w:lineRule="exact"/>
        <w:ind w:firstLine="604" w:firstLineChars="189"/>
        <w:jc w:val="left"/>
        <w:rPr>
          <w:rFonts w:ascii="Times New Roman" w:hAnsi="Times New Roman" w:eastAsia="楷体" w:cs="Times New Roman"/>
          <w:sz w:val="32"/>
          <w:szCs w:val="32"/>
        </w:rPr>
      </w:pPr>
      <w:r>
        <w:rPr>
          <w:rFonts w:ascii="Times New Roman" w:hAnsi="Times New Roman" w:eastAsia="楷体" w:cs="Times New Roman"/>
          <w:sz w:val="32"/>
          <w:szCs w:val="32"/>
        </w:rPr>
        <w:t>附件1：</w:t>
      </w:r>
    </w:p>
    <w:p>
      <w:pPr>
        <w:spacing w:line="680" w:lineRule="exact"/>
        <w:ind w:firstLine="782" w:firstLineChars="177"/>
        <w:jc w:val="center"/>
        <w:rPr>
          <w:rFonts w:ascii="Times New Roman" w:hAnsi="Times New Roman" w:eastAsia="黑体" w:cs="Times New Roman"/>
          <w:b/>
          <w:sz w:val="44"/>
          <w:szCs w:val="44"/>
        </w:rPr>
      </w:pPr>
    </w:p>
    <w:p>
      <w:pPr>
        <w:spacing w:line="680" w:lineRule="exact"/>
        <w:ind w:firstLine="782" w:firstLineChars="177"/>
        <w:jc w:val="center"/>
        <w:rPr>
          <w:rFonts w:ascii="Times New Roman" w:hAnsi="Times New Roman" w:eastAsia="黑体" w:cs="Times New Roman"/>
          <w:b/>
          <w:sz w:val="44"/>
          <w:szCs w:val="44"/>
        </w:rPr>
      </w:pPr>
      <w:r>
        <w:rPr>
          <w:rFonts w:ascii="Times New Roman" w:hAnsi="Times New Roman" w:eastAsia="黑体" w:cs="Times New Roman"/>
          <w:b/>
          <w:sz w:val="44"/>
          <w:szCs w:val="44"/>
        </w:rPr>
        <w:t>成都市中级人民法院破产案件专项项目资金管理使用办法（试行）</w:t>
      </w:r>
    </w:p>
    <w:p>
      <w:pPr>
        <w:spacing w:line="500" w:lineRule="exact"/>
        <w:ind w:firstLine="566" w:firstLineChars="177"/>
        <w:rPr>
          <w:rFonts w:ascii="Times New Roman" w:hAnsi="Times New Roman" w:eastAsia="仿宋" w:cs="Times New Roman"/>
          <w:sz w:val="32"/>
          <w:szCs w:val="32"/>
        </w:rPr>
      </w:pPr>
    </w:p>
    <w:p>
      <w:pPr>
        <w:spacing w:line="500" w:lineRule="exact"/>
        <w:jc w:val="center"/>
        <w:rPr>
          <w:rFonts w:ascii="Times New Roman" w:hAnsi="Times New Roman" w:eastAsia="楷体" w:cs="Times New Roman"/>
          <w:sz w:val="28"/>
          <w:szCs w:val="28"/>
        </w:rPr>
      </w:pPr>
      <w:r>
        <w:rPr>
          <w:rFonts w:ascii="Times New Roman" w:hAnsi="Times New Roman" w:eastAsia="楷体" w:cs="Times New Roman"/>
          <w:sz w:val="30"/>
          <w:szCs w:val="30"/>
        </w:rPr>
        <w:t>（</w:t>
      </w:r>
      <w:r>
        <w:rPr>
          <w:rFonts w:ascii="Times New Roman" w:hAnsi="Times New Roman" w:eastAsia="楷体" w:cs="Times New Roman"/>
          <w:sz w:val="28"/>
          <w:szCs w:val="28"/>
        </w:rPr>
        <w:t>成都市中级人民法院2021年4月28日公众号发布</w:t>
      </w:r>
      <w:r>
        <w:rPr>
          <w:rFonts w:ascii="Times New Roman" w:hAnsi="Times New Roman" w:eastAsia="楷体" w:cs="Times New Roman"/>
          <w:sz w:val="30"/>
          <w:szCs w:val="30"/>
        </w:rPr>
        <w:t>）</w:t>
      </w:r>
    </w:p>
    <w:p>
      <w:pPr>
        <w:spacing w:line="500" w:lineRule="exact"/>
        <w:ind w:firstLine="566" w:firstLineChars="177"/>
        <w:rPr>
          <w:rFonts w:ascii="Times New Roman" w:hAnsi="Times New Roman" w:eastAsia="仿宋" w:cs="Times New Roman"/>
          <w:sz w:val="32"/>
          <w:szCs w:val="32"/>
        </w:rPr>
      </w:pP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第一条  为服务供给侧改革，优化成都市国际化营商环境，促进经济转型升级，强化企业破产保障，提升办理破产水平，保障“僵尸企业”出清的常态化、法治化、市场化，结合我市破产工作实际，制定本办法。</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第二条</w:t>
      </w:r>
      <w:bookmarkStart w:id="0" w:name="_Hlk85038000"/>
      <w:r>
        <w:rPr>
          <w:rFonts w:ascii="Times New Roman" w:hAnsi="Times New Roman" w:eastAsia="仿宋" w:cs="Times New Roman"/>
          <w:sz w:val="32"/>
          <w:szCs w:val="32"/>
        </w:rPr>
        <w:t xml:space="preserve">  破产案件专项项目资金</w:t>
      </w:r>
      <w:bookmarkEnd w:id="0"/>
      <w:r>
        <w:rPr>
          <w:rFonts w:ascii="Times New Roman" w:hAnsi="Times New Roman" w:eastAsia="仿宋" w:cs="Times New Roman"/>
          <w:sz w:val="32"/>
          <w:szCs w:val="32"/>
        </w:rPr>
        <w:t>用于援助本院受理的破产财产不足以支付破产费用的破产案件。</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第三条  专项项目资金的管理和使用应遵循公开透明、专款专用、严格监管的原则，对资金使用实行单独核算，严格执行国家有关财经纪律和财务制度，依法接受财政部门监督和审计机关审计。</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第四条  专项项目资金来源于市财政专项项目资金预算，数额根据本院每年预算确定。</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第五条  专项项目资金可用于本院受理的下列破产案件：</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（一）债务人可用于清偿的财产价值总额为零或价值极低、明显不足以支付破产费用的；</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（二）破产申请被驳回，但管理人已实际履行相关职责、产生实际费用的；</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（三）</w:t>
      </w:r>
      <w:bookmarkStart w:id="1" w:name="_Hlk85037958"/>
      <w:r>
        <w:rPr>
          <w:rFonts w:ascii="Times New Roman" w:hAnsi="Times New Roman" w:eastAsia="仿宋" w:cs="Times New Roman"/>
          <w:sz w:val="32"/>
          <w:szCs w:val="32"/>
        </w:rPr>
        <w:t>债务人财产可用于计算管理人报酬的基数极低，不足以弥补管理人工作成本的</w:t>
      </w:r>
      <w:bookmarkEnd w:id="1"/>
      <w:r>
        <w:rPr>
          <w:rFonts w:ascii="Times New Roman" w:hAnsi="Times New Roman" w:eastAsia="仿宋" w:cs="Times New Roman"/>
          <w:sz w:val="32"/>
          <w:szCs w:val="32"/>
        </w:rPr>
        <w:t>；</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（四）本院认为可支付的其他情形。</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第六条  专项项目资金可用于破产案件下列费用：</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（一）管理人报酬；</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（二）管理人管理、变价和分配债务人财产的费用；</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（三）管理人执行职务的费用以及聘用工作人员的费用；</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（四）本院认为其他属于《中华人民共和国企业破产法》第四十一条规定的应当支付的费用。</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破产案件审理中产生的尽职调查、公告、印章刻制、合理的差旅费等费用，属于管理人执行职务的费用。差旅费用参照科级公务员的补助标准，包括交通、用餐、住宿等费用。</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第七条  确定管理人履职援助金额，应综合考虑以下因素：</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（一）案件复杂程度，包括债务人的财产、财务状况，处置难度等；</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（二）管理人的实际工作量和工作效率；</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（三）管理人的忠实、勤勉、专业程度；</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（四）其他可能影响履职援助金额确定的情况。</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第八条  对管理人的履职援助，一般根据下列三个档次确定个案援助金额：</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（一）债务人无任何财产线索，亦无任何财产、财务资料等可供清算的，每件援助4至5万元，其中报酬部分不超过4万元，费用部分不超过1万元；</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（二）债务人财产较为分散，财产调查、归集工作较为繁杂，资产处置难度较大，涉及债权人人数在10人以下的，每件援助6至8万元，其中报酬部分不超过6万元，费用部分不超过2万元；</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（三）债务人财产分布在四川省范围内跨市、州，财产调查、归集工作难度大，资产处置难度大，涉及债权人人数在10至20人的，每件援助8至10万元，其中报酬部分不超过7万元，费用部分不超过3万元。</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有债务人财产需跨省调查、处置或特别分散，债权人人数在20人以上等导致管理人工作量巨大情形的，援助金额可酌情提高，但每件报酬与费用合计援助金额不得超过15万元。</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第九条  本院设立</w:t>
      </w:r>
      <w:bookmarkStart w:id="2" w:name="_Hlk85037825"/>
      <w:r>
        <w:rPr>
          <w:rFonts w:ascii="Times New Roman" w:hAnsi="Times New Roman" w:eastAsia="仿宋" w:cs="Times New Roman"/>
          <w:sz w:val="32"/>
          <w:szCs w:val="32"/>
        </w:rPr>
        <w:t>破产案件专项项目资金</w:t>
      </w:r>
      <w:bookmarkEnd w:id="2"/>
      <w:r>
        <w:rPr>
          <w:rFonts w:ascii="Times New Roman" w:hAnsi="Times New Roman" w:eastAsia="仿宋" w:cs="Times New Roman"/>
          <w:sz w:val="32"/>
          <w:szCs w:val="32"/>
        </w:rPr>
        <w:t>监管组，负责破产案件专项项目资金的管理、审批、监督。监管组由本院分管破产审判工作的副院长及督察室、破产法庭、司法行政装备管理处的相关负责人组成。</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第十条  管理人申请资金援助的，在破产案件终结后三十日内，根据本办法规定的档次进行申报。申报时，应向本院提交《管理人援助资金申请表》（附后），并附相关佐证材料和工作开展清单。联合履职的管理人，各中介机构应在申请表中共同加盖印章。</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合议庭提出初步审查意见，报请破产法庭负责人审核后，集中报专项项目资金监管组研究决定。</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专项项目资金监管组于每季度对该季度专项项目资金的管理和使用集体决策，决定发放事项，并形成纪要。</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第十一条  对专项项目资金监管组决定发放的援助金，合议庭经办人员按照财务管理制度，统一将申报材料及审核签批页，通过司法行政综合系统提交审核发放。</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第十二条  本院应加强破产案件专项项目资金监管，形成专门的台账管理，每半年报送专项项目资金监管组分析，并依法接受财政部门监督检查和审计机关审计。</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第十三条  管理人提供虚假材料，骗取破产案件专项项目资金的，根据《中华人民共和国民事诉讼法》《中华人民共和国企业破产法》的相关规定，视情节轻重程度，采取训诫、罚款、取消管理人资格等处罚措施，构成犯罪的，依法追究刑事责任。</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第十四条  中介机构担任强制清算案件清算组成员，执行职务的费用及报酬参照本办法执行。</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第十五条  本办法由成都市中级人民法院负责解释。</w:t>
      </w:r>
    </w:p>
    <w:p>
      <w:pPr>
        <w:spacing w:line="500" w:lineRule="exact"/>
        <w:ind w:firstLine="566" w:firstLineChars="177"/>
        <w:rPr>
          <w:rFonts w:ascii="Times New Roman" w:hAnsi="Times New Roman" w:eastAsia="仿宋" w:cs="Times New Roman"/>
          <w:sz w:val="32"/>
          <w:szCs w:val="32"/>
        </w:rPr>
      </w:pPr>
      <w:r>
        <w:rPr>
          <w:rFonts w:ascii="Times New Roman" w:hAnsi="Times New Roman" w:eastAsia="仿宋" w:cs="Times New Roman"/>
          <w:sz w:val="32"/>
          <w:szCs w:val="32"/>
        </w:rPr>
        <w:t>第十六条  本办法自印发之日起实施，</w:t>
      </w:r>
      <w:bookmarkStart w:id="3" w:name="_Hlk85038311"/>
      <w:r>
        <w:rPr>
          <w:rFonts w:ascii="Times New Roman" w:hAnsi="Times New Roman" w:eastAsia="仿宋" w:cs="Times New Roman"/>
          <w:sz w:val="32"/>
          <w:szCs w:val="32"/>
        </w:rPr>
        <w:t>2020年度审结的破产案件和强制清算案件</w:t>
      </w:r>
      <w:bookmarkEnd w:id="3"/>
      <w:r>
        <w:rPr>
          <w:rFonts w:ascii="Times New Roman" w:hAnsi="Times New Roman" w:eastAsia="仿宋" w:cs="Times New Roman"/>
          <w:sz w:val="32"/>
          <w:szCs w:val="32"/>
        </w:rPr>
        <w:t>按本办法执行。</w:t>
      </w:r>
    </w:p>
    <w:p>
      <w:pPr>
        <w:spacing w:line="500" w:lineRule="exact"/>
        <w:ind w:firstLine="566" w:firstLineChars="177"/>
        <w:rPr>
          <w:rFonts w:ascii="Times New Roman" w:hAnsi="Times New Roman" w:eastAsia="仿宋" w:cs="Times New Roman"/>
          <w:sz w:val="32"/>
          <w:szCs w:val="32"/>
        </w:rPr>
      </w:pPr>
    </w:p>
    <w:p>
      <w:pPr>
        <w:spacing w:line="500" w:lineRule="exact"/>
        <w:ind w:firstLine="566" w:firstLineChars="177"/>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附件：1.管理人（清算组）</w:t>
      </w:r>
      <w:r>
        <w:rPr>
          <w:rFonts w:hint="eastAsia" w:ascii="Times New Roman" w:hAnsi="Times New Roman" w:eastAsia="仿宋" w:cs="Times New Roman"/>
          <w:sz w:val="32"/>
          <w:szCs w:val="32"/>
          <w:lang w:val="en-US" w:eastAsia="zh-CN"/>
        </w:rPr>
        <w:t>援助资金申请表</w:t>
      </w:r>
    </w:p>
    <w:p>
      <w:pPr>
        <w:spacing w:line="500" w:lineRule="exact"/>
        <w:ind w:firstLine="566" w:firstLineChars="177"/>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附件：2.管理人（清算组）</w:t>
      </w:r>
      <w:r>
        <w:rPr>
          <w:rFonts w:hint="eastAsia" w:ascii="Times New Roman" w:hAnsi="Times New Roman" w:eastAsia="仿宋" w:cs="Times New Roman"/>
          <w:sz w:val="32"/>
          <w:szCs w:val="32"/>
          <w:lang w:val="en-US" w:eastAsia="zh-CN"/>
        </w:rPr>
        <w:t>履职明细表</w:t>
      </w:r>
      <w:bookmarkStart w:id="6" w:name="_GoBack"/>
      <w:bookmarkEnd w:id="6"/>
    </w:p>
    <w:p>
      <w:pPr>
        <w:spacing w:line="500" w:lineRule="exact"/>
        <w:ind w:firstLine="566" w:firstLineChars="177"/>
        <w:rPr>
          <w:rFonts w:hint="default" w:ascii="Times New Roman" w:hAnsi="Times New Roman" w:eastAsia="仿宋" w:cs="Times New Roman"/>
          <w:sz w:val="32"/>
          <w:szCs w:val="32"/>
          <w:lang w:val="en-US" w:eastAsia="zh-CN"/>
        </w:rPr>
      </w:pP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jc w:val="center"/>
        <w:rPr>
          <w:rFonts w:ascii="Times New Roman" w:hAnsi="Times New Roman" w:eastAsia="等线" w:cs="Times New Roman"/>
          <w:b/>
          <w:bCs/>
          <w:sz w:val="44"/>
          <w:szCs w:val="44"/>
        </w:rPr>
      </w:pPr>
      <w:r>
        <w:rPr>
          <w:rFonts w:ascii="Times New Roman" w:hAnsi="Times New Roman" w:eastAsia="等线" w:cs="Times New Roman"/>
          <w:b/>
          <w:bCs/>
          <w:sz w:val="44"/>
          <w:szCs w:val="44"/>
        </w:rPr>
        <w:t>管理人（清算组）援助资金申请表</w:t>
      </w:r>
    </w:p>
    <w:p>
      <w:pPr>
        <w:rPr>
          <w:rFonts w:ascii="Times New Roman" w:hAnsi="Times New Roman" w:eastAsia="等线" w:cs="Times New Roman"/>
        </w:rPr>
      </w:pPr>
    </w:p>
    <w:tbl>
      <w:tblPr>
        <w:tblStyle w:val="5"/>
        <w:tblW w:w="83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648"/>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right"/>
        </w:trPr>
        <w:tc>
          <w:tcPr>
            <w:tcW w:w="1509"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申请机构</w:t>
            </w:r>
          </w:p>
        </w:tc>
        <w:tc>
          <w:tcPr>
            <w:tcW w:w="6850" w:type="dxa"/>
            <w:gridSpan w:val="2"/>
            <w:vAlign w:val="bottom"/>
          </w:tcPr>
          <w:p>
            <w:pPr>
              <w:spacing w:line="420" w:lineRule="exact"/>
              <w:jc w:val="right"/>
              <w:rPr>
                <w:rFonts w:ascii="Times New Roman" w:hAnsi="Times New Roman" w:eastAsia="仿宋" w:cs="Times New Roman"/>
                <w:sz w:val="28"/>
                <w:szCs w:val="28"/>
              </w:rPr>
            </w:pPr>
            <w:r>
              <w:rPr>
                <w:rFonts w:ascii="Times New Roman" w:hAnsi="Times New Roman" w:eastAsia="仿宋" w:cs="Times New Roman"/>
                <w:sz w:val="28"/>
                <w:szCs w:val="28"/>
              </w:rPr>
              <w:t>（加盖机构印章）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right"/>
        </w:trPr>
        <w:tc>
          <w:tcPr>
            <w:tcW w:w="1509"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案件信息</w:t>
            </w:r>
          </w:p>
        </w:tc>
        <w:tc>
          <w:tcPr>
            <w:tcW w:w="6850" w:type="dxa"/>
            <w:gridSpan w:val="2"/>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案号：</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破产人名称：</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指定管理人时间：      （年月日）</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终结程序时间：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right"/>
        </w:trPr>
        <w:tc>
          <w:tcPr>
            <w:tcW w:w="1509"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申请理由</w:t>
            </w:r>
          </w:p>
        </w:tc>
        <w:tc>
          <w:tcPr>
            <w:tcW w:w="6850" w:type="dxa"/>
            <w:gridSpan w:val="2"/>
            <w:vAlign w:val="center"/>
          </w:tcPr>
          <w:p>
            <w:pPr>
              <w:spacing w:line="420" w:lineRule="exac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right"/>
        </w:trPr>
        <w:tc>
          <w:tcPr>
            <w:tcW w:w="1509"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申请金额</w:t>
            </w:r>
          </w:p>
        </w:tc>
        <w:tc>
          <w:tcPr>
            <w:tcW w:w="6850" w:type="dxa"/>
            <w:gridSpan w:val="2"/>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※※※元（管理人报酬：※※※元；破产费用：※※※元）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right"/>
        </w:trPr>
        <w:tc>
          <w:tcPr>
            <w:tcW w:w="1509"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收款账户</w:t>
            </w:r>
          </w:p>
        </w:tc>
        <w:tc>
          <w:tcPr>
            <w:tcW w:w="6850" w:type="dxa"/>
            <w:gridSpan w:val="2"/>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户  名：</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开户行：</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right"/>
        </w:trPr>
        <w:tc>
          <w:tcPr>
            <w:tcW w:w="1509" w:type="dxa"/>
            <w:vMerge w:val="restart"/>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案件情况</w:t>
            </w:r>
          </w:p>
        </w:tc>
        <w:tc>
          <w:tcPr>
            <w:tcW w:w="1648"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工作团队</w:t>
            </w:r>
          </w:p>
        </w:tc>
        <w:tc>
          <w:tcPr>
            <w:tcW w:w="5202"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（列明管理人团队成员，与报备人员一致）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right"/>
        </w:trPr>
        <w:tc>
          <w:tcPr>
            <w:tcW w:w="1509" w:type="dxa"/>
            <w:vMerge w:val="continue"/>
            <w:vAlign w:val="center"/>
          </w:tcPr>
          <w:p>
            <w:pPr>
              <w:spacing w:line="420" w:lineRule="exact"/>
              <w:rPr>
                <w:rFonts w:ascii="Times New Roman" w:hAnsi="Times New Roman" w:eastAsia="仿宋" w:cs="Times New Roman"/>
                <w:sz w:val="28"/>
                <w:szCs w:val="28"/>
              </w:rPr>
            </w:pPr>
          </w:p>
        </w:tc>
        <w:tc>
          <w:tcPr>
            <w:tcW w:w="1648"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财产调查处置情况</w:t>
            </w:r>
          </w:p>
        </w:tc>
        <w:tc>
          <w:tcPr>
            <w:tcW w:w="5202"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（简要罗列资产及处置、分配情况）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right"/>
        </w:trPr>
        <w:tc>
          <w:tcPr>
            <w:tcW w:w="1509" w:type="dxa"/>
            <w:vMerge w:val="continue"/>
            <w:vAlign w:val="center"/>
          </w:tcPr>
          <w:p>
            <w:pPr>
              <w:spacing w:line="420" w:lineRule="exact"/>
              <w:rPr>
                <w:rFonts w:ascii="Times New Roman" w:hAnsi="Times New Roman" w:eastAsia="仿宋" w:cs="Times New Roman"/>
                <w:sz w:val="28"/>
                <w:szCs w:val="28"/>
              </w:rPr>
            </w:pPr>
          </w:p>
        </w:tc>
        <w:tc>
          <w:tcPr>
            <w:tcW w:w="1648"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审查债权</w:t>
            </w:r>
          </w:p>
        </w:tc>
        <w:tc>
          <w:tcPr>
            <w:tcW w:w="5202"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涉及债权人数量：  人</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审查债权：  人，   元</w:t>
            </w:r>
          </w:p>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裁定确认：  人，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right"/>
        </w:trPr>
        <w:tc>
          <w:tcPr>
            <w:tcW w:w="1509" w:type="dxa"/>
            <w:vAlign w:val="center"/>
          </w:tcPr>
          <w:p>
            <w:pPr>
              <w:spacing w:line="420" w:lineRule="exact"/>
              <w:rPr>
                <w:rFonts w:ascii="Times New Roman" w:hAnsi="Times New Roman" w:eastAsia="仿宋" w:cs="Times New Roman"/>
                <w:sz w:val="28"/>
                <w:szCs w:val="28"/>
              </w:rPr>
            </w:pPr>
            <w:r>
              <w:rPr>
                <w:rFonts w:ascii="Times New Roman" w:hAnsi="Times New Roman" w:eastAsia="仿宋" w:cs="Times New Roman"/>
                <w:sz w:val="28"/>
                <w:szCs w:val="28"/>
              </w:rPr>
              <w:t>其他需要说明的事项</w:t>
            </w:r>
          </w:p>
        </w:tc>
        <w:tc>
          <w:tcPr>
            <w:tcW w:w="6850" w:type="dxa"/>
            <w:gridSpan w:val="2"/>
            <w:vAlign w:val="center"/>
          </w:tcPr>
          <w:p>
            <w:pPr>
              <w:spacing w:line="420" w:lineRule="exact"/>
              <w:rPr>
                <w:rFonts w:ascii="Times New Roman" w:hAnsi="Times New Roman" w:eastAsia="仿宋" w:cs="Times New Roman"/>
                <w:sz w:val="28"/>
                <w:szCs w:val="28"/>
              </w:rPr>
            </w:pPr>
          </w:p>
        </w:tc>
      </w:tr>
    </w:tbl>
    <w:p>
      <w:pPr>
        <w:rPr>
          <w:rFonts w:ascii="Times New Roman" w:hAnsi="Times New Roman" w:eastAsia="仿宋" w:cs="Times New Roman"/>
          <w:sz w:val="28"/>
          <w:szCs w:val="28"/>
        </w:rPr>
      </w:pPr>
      <w:r>
        <w:rPr>
          <w:rFonts w:ascii="Times New Roman" w:hAnsi="Times New Roman" w:eastAsia="仿宋" w:cs="Times New Roman"/>
          <w:sz w:val="28"/>
          <w:szCs w:val="28"/>
        </w:rPr>
        <w:t>附：管理人履职明细表（时间、工作内容，附费用开支票据）</w:t>
      </w:r>
    </w:p>
    <w:p>
      <w:pPr>
        <w:widowControl/>
        <w:jc w:val="left"/>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管理人（清算组）履职明细表</w:t>
      </w:r>
    </w:p>
    <w:p>
      <w:pPr>
        <w:jc w:val="center"/>
        <w:rPr>
          <w:rFonts w:ascii="Times New Roman" w:hAnsi="Times New Roman" w:eastAsia="楷体" w:cs="Times New Roman"/>
          <w:sz w:val="30"/>
          <w:szCs w:val="30"/>
        </w:rPr>
      </w:pPr>
      <w:r>
        <w:rPr>
          <w:rFonts w:ascii="Times New Roman" w:hAnsi="Times New Roman" w:eastAsia="楷体" w:cs="Times New Roman"/>
          <w:sz w:val="30"/>
          <w:szCs w:val="30"/>
        </w:rPr>
        <w:t>（参考模板）</w:t>
      </w:r>
    </w:p>
    <w:p>
      <w:pPr>
        <w:spacing w:line="480" w:lineRule="exact"/>
        <w:ind w:firstLine="566" w:firstLineChars="177"/>
        <w:rPr>
          <w:rFonts w:ascii="Times New Roman" w:hAnsi="Times New Roman" w:eastAsia="黑体" w:cs="Times New Roman"/>
          <w:sz w:val="32"/>
          <w:szCs w:val="32"/>
        </w:rPr>
      </w:pP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一、接受指定及制度报备</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※年※月※日，向法院提交了《※※》等※项工作制度报备。</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※年※月※日，向法院进行管理人印章启用备案。</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※年※月※日，向法院提交了《※※》等※项工作制度报备。</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二、接管情况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三、财产调查情况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四、债权申报审查工作开展情况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（通知已知债权人、审查、核对等）</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五、债权人会议筹备及召开情况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（含准备工作、准备内容、资料、会后纪要报备等）</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六、资产处置情况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（含各次处置时间、成交情况、成交后产权转移等）</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七、分配工作情况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八、终结工作情况</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spacing w:line="480" w:lineRule="exact"/>
        <w:ind w:firstLine="531" w:firstLineChars="177"/>
        <w:rPr>
          <w:rFonts w:ascii="Times New Roman" w:hAnsi="Times New Roman" w:eastAsia="黑体" w:cs="Times New Roman"/>
          <w:sz w:val="30"/>
          <w:szCs w:val="30"/>
        </w:rPr>
      </w:pPr>
      <w:r>
        <w:rPr>
          <w:rFonts w:ascii="Times New Roman" w:hAnsi="Times New Roman" w:eastAsia="黑体" w:cs="Times New Roman"/>
          <w:sz w:val="30"/>
          <w:szCs w:val="30"/>
        </w:rPr>
        <w:t>九、注销工作情况（含税务注销、工商注销等）</w:t>
      </w:r>
    </w:p>
    <w:p>
      <w:pPr>
        <w:spacing w:line="480" w:lineRule="exact"/>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w:t>
      </w:r>
    </w:p>
    <w:p>
      <w:pPr>
        <w:widowControl/>
        <w:jc w:val="left"/>
        <w:rPr>
          <w:rFonts w:ascii="Times New Roman" w:hAnsi="Times New Roman" w:eastAsia="仿宋" w:cs="Times New Roman"/>
          <w:sz w:val="30"/>
          <w:szCs w:val="30"/>
        </w:rPr>
      </w:pPr>
      <w:r>
        <w:rPr>
          <w:rFonts w:ascii="Times New Roman" w:hAnsi="Times New Roman" w:eastAsia="仿宋" w:cs="Times New Roman"/>
          <w:sz w:val="30"/>
          <w:szCs w:val="30"/>
        </w:rPr>
        <w:br w:type="page"/>
      </w:r>
    </w:p>
    <w:p>
      <w:pPr>
        <w:spacing w:line="480" w:lineRule="exact"/>
        <w:ind w:firstLine="566" w:firstLineChars="177"/>
        <w:rPr>
          <w:rFonts w:ascii="Times New Roman" w:hAnsi="Times New Roman" w:eastAsia="楷体" w:cs="Times New Roman"/>
          <w:sz w:val="32"/>
          <w:szCs w:val="32"/>
        </w:rPr>
      </w:pPr>
      <w:r>
        <w:rPr>
          <w:rFonts w:ascii="Times New Roman" w:hAnsi="Times New Roman" w:eastAsia="楷体" w:cs="Times New Roman"/>
          <w:sz w:val="32"/>
          <w:szCs w:val="32"/>
        </w:rPr>
        <w:t>附件2：</w:t>
      </w:r>
    </w:p>
    <w:p>
      <w:pPr>
        <w:rPr>
          <w:rFonts w:ascii="Times New Roman" w:hAnsi="Times New Roman" w:cs="Times New Roman"/>
        </w:rPr>
      </w:pPr>
    </w:p>
    <w:p>
      <w:pPr>
        <w:spacing w:line="720" w:lineRule="exact"/>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成都市破产管理人协会</w:t>
      </w:r>
    </w:p>
    <w:p>
      <w:pPr>
        <w:spacing w:line="720" w:lineRule="exact"/>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破产案件专项项目资金预审办法（试行）</w:t>
      </w:r>
    </w:p>
    <w:p>
      <w:pPr>
        <w:rPr>
          <w:rFonts w:ascii="Times New Roman" w:hAnsi="Times New Roman" w:eastAsia="仿宋" w:cs="Times New Roman"/>
          <w:sz w:val="32"/>
          <w:szCs w:val="32"/>
        </w:rPr>
      </w:pPr>
    </w:p>
    <w:p>
      <w:pPr>
        <w:spacing w:line="44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（此稿经2021年10月11日会长办公会议通过，待提交理事会讨论表决）</w:t>
      </w:r>
    </w:p>
    <w:p>
      <w:pPr>
        <w:spacing w:line="360" w:lineRule="auto"/>
        <w:ind w:firstLine="531" w:firstLineChars="177"/>
        <w:rPr>
          <w:rFonts w:ascii="Times New Roman" w:hAnsi="Times New Roman" w:eastAsia="仿宋" w:cs="Times New Roman"/>
          <w:sz w:val="30"/>
          <w:szCs w:val="30"/>
        </w:rPr>
      </w:pP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第一条 </w:t>
      </w:r>
      <w:r>
        <w:rPr>
          <w:rFonts w:ascii="Times New Roman" w:hAnsi="Times New Roman" w:eastAsia="仿宋" w:cs="Times New Roman"/>
          <w:sz w:val="30"/>
          <w:szCs w:val="30"/>
        </w:rPr>
        <w:t>为保证成都市中级人民法院委托协会对管理人申请援助资金进行初审工作的规范进行，充分发挥成都市破产管理人协会的专业能力和服务功能，配合成都市中级人民法院《破产案件专项项目资金管理使用办法（试行）》（以下简称《管理使用办法》）的有效实施，制定本办法。</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第二条 </w:t>
      </w:r>
      <w:r>
        <w:rPr>
          <w:rFonts w:ascii="Times New Roman" w:hAnsi="Times New Roman" w:eastAsia="仿宋" w:cs="Times New Roman"/>
          <w:sz w:val="30"/>
          <w:szCs w:val="30"/>
        </w:rPr>
        <w:t>本办法所称管理人申请援助资金是指：管理人（或联合管理人，下同）根据《管理使用办法》，向成都中院申请破产案件专项项目资金。</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本办法所称申请人是指申请援助资金的管理人。</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本办法所称预审，是指协会根据成都中院的委托，对管理人申请援助资金相关的文件完整性、合规性进行审查，并向成都中院提交预审报告的活动。</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第三条 </w:t>
      </w:r>
      <w:r>
        <w:rPr>
          <w:rFonts w:ascii="Times New Roman" w:hAnsi="Times New Roman" w:eastAsia="仿宋" w:cs="Times New Roman"/>
          <w:sz w:val="30"/>
          <w:szCs w:val="30"/>
        </w:rPr>
        <w:t>协会秘书处为预审工作机构，负责预审的日常组织管理工作。</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预审工作由秘书处组织协会财税专业委员会、清算专业委员会委员3-5人组成预审组开展预审工作，协会分管副秘书长为预审组组长。</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第四条 </w:t>
      </w:r>
      <w:r>
        <w:rPr>
          <w:rFonts w:ascii="Times New Roman" w:hAnsi="Times New Roman" w:eastAsia="仿宋" w:cs="Times New Roman"/>
          <w:sz w:val="30"/>
          <w:szCs w:val="30"/>
        </w:rPr>
        <w:t>预审按照公开、公平、公正的原则进行。</w:t>
      </w:r>
    </w:p>
    <w:p>
      <w:pPr>
        <w:spacing w:line="360" w:lineRule="auto"/>
        <w:ind w:firstLine="531" w:firstLineChars="177"/>
        <w:rPr>
          <w:rFonts w:ascii="Times New Roman" w:hAnsi="Times New Roman" w:eastAsia="仿宋" w:cs="Times New Roman"/>
          <w:sz w:val="30"/>
          <w:szCs w:val="30"/>
        </w:rPr>
      </w:pPr>
      <w:bookmarkStart w:id="4" w:name="No5_T2"/>
      <w:bookmarkEnd w:id="4"/>
      <w:r>
        <w:rPr>
          <w:rFonts w:ascii="Times New Roman" w:hAnsi="Times New Roman" w:eastAsia="黑体" w:cs="Times New Roman"/>
          <w:sz w:val="30"/>
          <w:szCs w:val="30"/>
        </w:rPr>
        <w:t xml:space="preserve">第五条 </w:t>
      </w:r>
      <w:r>
        <w:rPr>
          <w:rFonts w:ascii="Times New Roman" w:hAnsi="Times New Roman" w:eastAsia="仿宋" w:cs="Times New Roman"/>
          <w:sz w:val="30"/>
          <w:szCs w:val="30"/>
        </w:rPr>
        <w:t>管理人申请援助资金时，应在破产案件终结后三十日内，将《管理使用办法》要求的申请文件及预审申请书、相关文件清单提交协会秘书处，由协会预审后，连同协会预审报告一并转交成都中院。</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为便于预审组更加充分的了解申请人的工作，协会倡议申请人在提交《管理使用办法》所要求必备申请文件的基础上，进一步提交能够说明工作量、工作难度、工作绩效、经验或教训分享方面的资料。</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对申请人提交的资料，预审组可以要求申请人予以补充，申请人不予补充的，不影响预审工作的开展。</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第六条 </w:t>
      </w:r>
      <w:r>
        <w:rPr>
          <w:rFonts w:ascii="Times New Roman" w:hAnsi="Times New Roman" w:eastAsia="仿宋" w:cs="Times New Roman"/>
          <w:sz w:val="30"/>
          <w:szCs w:val="30"/>
        </w:rPr>
        <w:t>预审工作一般每季度进行一次，特殊情况下，按照成都中院的要求及时进行。</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第七条 </w:t>
      </w:r>
      <w:r>
        <w:rPr>
          <w:rFonts w:ascii="Times New Roman" w:hAnsi="Times New Roman" w:eastAsia="仿宋" w:cs="Times New Roman"/>
          <w:sz w:val="30"/>
          <w:szCs w:val="30"/>
        </w:rPr>
        <w:t>预审工作完成后，应该形成预审报告。预审报告应包括下列内容：</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一、申请人及其申请资格；</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二、案件名称、案号及是否符合《管理使用办法》第五条的规定；</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三、申请资金及费用是否属于《管理使用办法》第六条规定的范围及满足该条规定的标准，费用报销凭证是否合规；</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四、参照《管理使用办法》第八条规定的标准，对管理人履职援助归属于三个档次的某一档次，以及是否需要予以特别援助提出建议。</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第八条 </w:t>
      </w:r>
      <w:r>
        <w:rPr>
          <w:rFonts w:ascii="Times New Roman" w:hAnsi="Times New Roman" w:eastAsia="仿宋" w:cs="Times New Roman"/>
          <w:sz w:val="30"/>
          <w:szCs w:val="30"/>
        </w:rPr>
        <w:t>预审组会议由协会分管副秘书长主持并形成会议记录，参会人员应在会议记录上签字。</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预审意见由预审组成员过半数通过方为有效。</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对预审会要求申请人补充资料或未形成预审意见的申请，秘书处应提请申请人限时补充资料，并在当次会议后15日内再次召开预审会进行审查，形成预审意见。</w:t>
      </w:r>
      <w:bookmarkStart w:id="5" w:name="No7_T3"/>
      <w:bookmarkEnd w:id="5"/>
    </w:p>
    <w:p>
      <w:pPr>
        <w:spacing w:line="360" w:lineRule="auto"/>
        <w:ind w:firstLine="531" w:firstLineChars="177"/>
        <w:rPr>
          <w:rFonts w:ascii="Times New Roman" w:hAnsi="Times New Roman" w:eastAsia="仿宋" w:cs="Times New Roman"/>
          <w:sz w:val="30"/>
          <w:szCs w:val="30"/>
        </w:rPr>
      </w:pPr>
      <w:r>
        <w:rPr>
          <w:rFonts w:ascii="Times New Roman" w:hAnsi="Times New Roman" w:eastAsia="仿宋" w:cs="Times New Roman"/>
          <w:sz w:val="30"/>
          <w:szCs w:val="30"/>
        </w:rPr>
        <w:t>预审报告由协会秘书处主管副秘书长根据预审组会议形成的意见起草，层报协会分管副会长、会长审批后，于预审会形成预审意见后五日内，连同申请人向法院提交的申请资料，一并向成都中院提交。</w:t>
      </w:r>
    </w:p>
    <w:p>
      <w:pPr>
        <w:spacing w:line="360" w:lineRule="auto"/>
        <w:ind w:firstLine="531" w:firstLineChars="177"/>
        <w:rPr>
          <w:rFonts w:ascii="Times New Roman" w:hAnsi="Times New Roman" w:eastAsia="仿宋" w:cs="Times New Roman"/>
          <w:sz w:val="30"/>
          <w:szCs w:val="30"/>
        </w:rPr>
      </w:pPr>
      <w:r>
        <w:rPr>
          <w:rFonts w:ascii="Times New Roman" w:hAnsi="Times New Roman" w:eastAsia="黑体" w:cs="Times New Roman"/>
          <w:sz w:val="30"/>
          <w:szCs w:val="30"/>
        </w:rPr>
        <w:t xml:space="preserve">第九条 </w:t>
      </w:r>
      <w:r>
        <w:rPr>
          <w:rFonts w:ascii="Times New Roman" w:hAnsi="Times New Roman" w:eastAsia="仿宋" w:cs="Times New Roman"/>
          <w:sz w:val="30"/>
          <w:szCs w:val="30"/>
        </w:rPr>
        <w:t>本办法由成都市破产管理人协会会长办公会负责解释。</w:t>
      </w:r>
    </w:p>
    <w:p>
      <w:pPr>
        <w:spacing w:line="360" w:lineRule="auto"/>
        <w:ind w:firstLine="531" w:firstLineChars="177"/>
        <w:rPr>
          <w:rFonts w:ascii="Times New Roman" w:hAnsi="Times New Roman" w:eastAsia="楷体" w:cs="Times New Roman"/>
          <w:sz w:val="32"/>
          <w:szCs w:val="32"/>
        </w:rPr>
      </w:pPr>
      <w:r>
        <w:rPr>
          <w:rFonts w:ascii="Times New Roman" w:hAnsi="Times New Roman" w:eastAsia="黑体" w:cs="Times New Roman"/>
          <w:sz w:val="30"/>
          <w:szCs w:val="30"/>
        </w:rPr>
        <w:t xml:space="preserve">第十条 </w:t>
      </w:r>
      <w:r>
        <w:rPr>
          <w:rFonts w:ascii="Times New Roman" w:hAnsi="Times New Roman" w:eastAsia="仿宋" w:cs="Times New Roman"/>
          <w:sz w:val="30"/>
          <w:szCs w:val="30"/>
        </w:rPr>
        <w:t>本办法经成都市中级人民法院批准后，自发布之日起实施。▲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1849772"/>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D2"/>
    <w:rsid w:val="001A7214"/>
    <w:rsid w:val="001D054D"/>
    <w:rsid w:val="001F7752"/>
    <w:rsid w:val="00207ED2"/>
    <w:rsid w:val="00214342"/>
    <w:rsid w:val="0024331E"/>
    <w:rsid w:val="003A23FF"/>
    <w:rsid w:val="00406FA9"/>
    <w:rsid w:val="00510FC4"/>
    <w:rsid w:val="005A060E"/>
    <w:rsid w:val="005C7966"/>
    <w:rsid w:val="006527D4"/>
    <w:rsid w:val="00675871"/>
    <w:rsid w:val="00703ADB"/>
    <w:rsid w:val="008E3A8C"/>
    <w:rsid w:val="00902336"/>
    <w:rsid w:val="009566F7"/>
    <w:rsid w:val="009D2735"/>
    <w:rsid w:val="009D3B0A"/>
    <w:rsid w:val="00A14AB0"/>
    <w:rsid w:val="00A209F3"/>
    <w:rsid w:val="00AA3C5C"/>
    <w:rsid w:val="00AC0624"/>
    <w:rsid w:val="00B22AEC"/>
    <w:rsid w:val="00B510F1"/>
    <w:rsid w:val="00B65AC9"/>
    <w:rsid w:val="00B72B45"/>
    <w:rsid w:val="00B77A9A"/>
    <w:rsid w:val="00C873B6"/>
    <w:rsid w:val="00D6537F"/>
    <w:rsid w:val="00DA5C77"/>
    <w:rsid w:val="00DA662D"/>
    <w:rsid w:val="00DA7D07"/>
    <w:rsid w:val="00E0651B"/>
    <w:rsid w:val="00E16C75"/>
    <w:rsid w:val="00E21887"/>
    <w:rsid w:val="00E236C7"/>
    <w:rsid w:val="00E31ECF"/>
    <w:rsid w:val="00E44D86"/>
    <w:rsid w:val="00FB1976"/>
    <w:rsid w:val="00FF3945"/>
    <w:rsid w:val="00FF39A3"/>
    <w:rsid w:val="01F7777F"/>
    <w:rsid w:val="54EB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日期 字符"/>
    <w:basedOn w:val="6"/>
    <w:link w:val="2"/>
    <w:semiHidden/>
    <w:uiPriority w:val="99"/>
  </w:style>
  <w:style w:type="paragraph" w:styleId="9">
    <w:name w:val="List Paragraph"/>
    <w:basedOn w:val="1"/>
    <w:qFormat/>
    <w:uiPriority w:val="34"/>
    <w:pPr>
      <w:ind w:firstLine="420" w:firstLineChars="200"/>
    </w:pPr>
  </w:style>
  <w:style w:type="character" w:customStyle="1" w:styleId="10">
    <w:name w:val="Unresolved Mention"/>
    <w:basedOn w:val="6"/>
    <w:semiHidden/>
    <w:unhideWhenUsed/>
    <w:uiPriority w:val="99"/>
    <w:rPr>
      <w:color w:val="605E5C"/>
      <w:shd w:val="clear" w:color="auto" w:fill="E1DFDD"/>
    </w:rPr>
  </w:style>
  <w:style w:type="character" w:customStyle="1" w:styleId="11">
    <w:name w:val="页眉 字符"/>
    <w:basedOn w:val="6"/>
    <w:link w:val="4"/>
    <w:uiPriority w:val="99"/>
    <w:rPr>
      <w:sz w:val="18"/>
      <w:szCs w:val="18"/>
    </w:rPr>
  </w:style>
  <w:style w:type="character" w:customStyle="1" w:styleId="12">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31649;&#21327;&#31192;&#20070;&#22788;\1&#65306;&#31192;&#20070;&#22788;&#24314;&#35774;\&#31192;&#20070;&#22788;&#25991;&#2021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秘书处文件模板.dotx</Template>
  <Pages>1</Pages>
  <Words>746</Words>
  <Characters>4258</Characters>
  <Lines>35</Lines>
  <Paragraphs>9</Paragraphs>
  <TotalTime>1</TotalTime>
  <ScaleCrop>false</ScaleCrop>
  <LinksUpToDate>false</LinksUpToDate>
  <CharactersWithSpaces>4995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2021-10-13T10:20:00Z</dcterms:created>
  <dc:creator>huawei</dc:creator>
  <cp:lastModifiedBy>锦辛小甜心</cp:lastModifiedBy>
  <cp:lastPrinted>2021-10-13T11:30:00Z</cp:lastPrinted>
  <dcterms:modified xsi:type="dcterms:W3CDTF">2021-10-14T01:14:48Z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E8B8F83EA7524BF0986D48E25143E853</vt:lpwstr>
  </property>
</Properties>
</file>